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40"/>
        </w:tabs>
        <w:adjustRightInd w:val="0"/>
        <w:snapToGrid w:val="0"/>
        <w:spacing w:line="56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未正常打卡说明</w:t>
      </w:r>
    </w:p>
    <w:p>
      <w:pPr>
        <w:tabs>
          <w:tab w:val="left" w:pos="6657"/>
          <w:tab w:val="right" w:pos="9740"/>
        </w:tabs>
        <w:adjustRightInd w:val="0"/>
        <w:snapToGrid w:val="0"/>
        <w:spacing w:line="56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z w:val="28"/>
          <w:szCs w:val="28"/>
        </w:rPr>
        <w:t>编号：</w:t>
      </w:r>
    </w:p>
    <w:tbl>
      <w:tblPr>
        <w:tblStyle w:val="2"/>
        <w:tblW w:w="5593" w:type="pct"/>
        <w:tblInd w:w="-36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9"/>
        <w:gridCol w:w="1636"/>
        <w:gridCol w:w="1455"/>
        <w:gridCol w:w="2399"/>
        <w:gridCol w:w="13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未正常打卡说明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162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部门：</w:t>
            </w:r>
          </w:p>
        </w:tc>
        <w:tc>
          <w:tcPr>
            <w:tcW w:w="194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岗位：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未正常打可原因：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000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未打卡时间段：自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时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至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2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申请人：</w:t>
            </w:r>
          </w:p>
        </w:tc>
        <w:tc>
          <w:tcPr>
            <w:tcW w:w="27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部门负责人：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29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日期：</w:t>
            </w:r>
          </w:p>
        </w:tc>
        <w:tc>
          <w:tcPr>
            <w:tcW w:w="270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431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pPr>
        <w:tabs>
          <w:tab w:val="left" w:pos="840"/>
        </w:tabs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484A3A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2021-08-02T04:07:20Z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