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11" w:firstLineChars="595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法定代表人离任审计报告的说明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在办理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法定代表人变更时，按照《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管理条例》（国务院第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</w:rPr>
        <w:t>号令）规定，需提供拟卸任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法定代表人的离任审计报告。离任审计报告由合法的会计师事务所出具。审计时限应为拟卸任的法定代表人在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任法定代表人开始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日起至</w:t>
      </w:r>
      <w:r>
        <w:rPr>
          <w:rFonts w:hint="eastAsia" w:ascii="仿宋_GB2312" w:hAnsi="仿宋_GB2312" w:eastAsia="仿宋_GB2312" w:cs="仿宋_GB2312"/>
          <w:sz w:val="32"/>
          <w:szCs w:val="32"/>
        </w:rPr>
        <w:t>在网上提交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法定代表人变更时间当月为止。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68EA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4EF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04752422"/>
    <w:rsid w:val="3FA271C4"/>
    <w:rsid w:val="67C3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name_label2"/>
    <w:basedOn w:val="5"/>
    <w:qFormat/>
    <w:uiPriority w:val="0"/>
    <w:rPr>
      <w:rFonts w:hint="eastAsia" w:ascii="微软雅黑" w:hAnsi="微软雅黑" w:eastAsia="微软雅黑"/>
      <w:color w:val="4B95F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22</Words>
  <Characters>129</Characters>
  <Lines>1</Lines>
  <Paragraphs>1</Paragraphs>
  <TotalTime>30</TotalTime>
  <ScaleCrop>false</ScaleCrop>
  <LinksUpToDate>false</LinksUpToDate>
  <CharactersWithSpaces>150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2020-08-26T02:37:00Z</dcterms:created>
  <dc:creator>YLMF</dc:creator>
  <cp:lastModifiedBy>姜良志</cp:lastModifiedBy>
  <dcterms:modified xsi:type="dcterms:W3CDTF">2021-10-29T03:32:45Z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4FDA0974F615485C9CE7EC0FFC8FDA29</vt:lpwstr>
  </property>
</Properties>
</file>