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验资报告的说明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在办理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基金会注册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资金变更申请时，按照《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条例》（国务院第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</w:rPr>
        <w:t>号令）规定，需提供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资金变更</w:t>
      </w:r>
      <w:r>
        <w:rPr>
          <w:rFonts w:hint="eastAsia" w:ascii="仿宋_GB2312" w:hAnsi="仿宋_GB2312" w:eastAsia="仿宋_GB2312" w:cs="仿宋_GB2312"/>
          <w:sz w:val="32"/>
          <w:szCs w:val="32"/>
        </w:rPr>
        <w:t>后的验资报告。验资报告由合法的会计师事务所出具。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067DF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486C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04752422"/>
    <w:rsid w:val="18151E97"/>
    <w:rsid w:val="49A0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name_label2"/>
    <w:basedOn w:val="5"/>
    <w:qFormat/>
    <w:uiPriority w:val="0"/>
    <w:rPr>
      <w:rFonts w:hint="eastAsia" w:ascii="微软雅黑" w:hAnsi="微软雅黑" w:eastAsia="微软雅黑"/>
      <w:color w:val="4B95F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14</Words>
  <Characters>83</Characters>
  <Lines>1</Lines>
  <Paragraphs>1</Paragraphs>
  <TotalTime>30</TotalTime>
  <ScaleCrop>false</ScaleCrop>
  <LinksUpToDate>false</LinksUpToDate>
  <CharactersWithSpaces>96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2020-08-26T02:37:00Z</dcterms:created>
  <dc:creator>YLMF</dc:creator>
  <cp:lastModifiedBy>姜良志</cp:lastModifiedBy>
  <dcterms:modified xsi:type="dcterms:W3CDTF">2021-11-04T05:58:36Z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4FDA0974F615485C9CE7EC0FFC8FDA29</vt:lpwstr>
  </property>
</Properties>
</file>